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F7" w:rsidRDefault="00E86DF7">
      <w:pPr>
        <w:rPr>
          <w:rFonts w:ascii="Times New Roman" w:hAnsi="Times New Roman"/>
          <w:lang w:val="uk-UA"/>
        </w:rPr>
      </w:pPr>
      <w:r w:rsidRPr="00E86DF7">
        <w:rPr>
          <w:rFonts w:ascii="Times New Roman" w:hAnsi="Times New Roman"/>
          <w:lang w:val="uk-UA"/>
        </w:rPr>
        <w:t>Марина Жимолостнова, податковий консультант</w:t>
      </w:r>
    </w:p>
    <w:p w:rsidR="00BA2E06" w:rsidRPr="00E86DF7" w:rsidRDefault="00BA2E06">
      <w:pPr>
        <w:rPr>
          <w:rFonts w:ascii="Times New Roman" w:hAnsi="Times New Roman"/>
          <w:lang w:val="uk-UA"/>
        </w:rPr>
      </w:pPr>
    </w:p>
    <w:p w:rsidR="0030352B" w:rsidRPr="00AF155E" w:rsidRDefault="0030352B">
      <w:pPr>
        <w:rPr>
          <w:rFonts w:ascii="Times New Roman" w:hAnsi="Times New Roman"/>
          <w:b/>
          <w:lang w:val="uk-UA"/>
        </w:rPr>
      </w:pPr>
      <w:r w:rsidRPr="00AF155E">
        <w:rPr>
          <w:rFonts w:ascii="Times New Roman" w:hAnsi="Times New Roman"/>
          <w:b/>
          <w:lang w:val="uk-UA"/>
        </w:rPr>
        <w:t>Дисконтування довгострокової заборгованості</w:t>
      </w:r>
      <w:r>
        <w:rPr>
          <w:rFonts w:ascii="Times New Roman" w:hAnsi="Times New Roman"/>
          <w:b/>
          <w:lang w:val="uk-UA"/>
        </w:rPr>
        <w:t>: особливості обліку для</w:t>
      </w:r>
      <w:r w:rsidRPr="00AF155E">
        <w:rPr>
          <w:rFonts w:ascii="Times New Roman" w:hAnsi="Times New Roman"/>
          <w:b/>
          <w:lang w:val="uk-UA"/>
        </w:rPr>
        <w:t xml:space="preserve"> платник</w:t>
      </w:r>
      <w:r>
        <w:rPr>
          <w:rFonts w:ascii="Times New Roman" w:hAnsi="Times New Roman"/>
          <w:b/>
          <w:lang w:val="uk-UA"/>
        </w:rPr>
        <w:t>ів</w:t>
      </w:r>
      <w:r w:rsidRPr="00AF155E">
        <w:rPr>
          <w:rFonts w:ascii="Times New Roman" w:hAnsi="Times New Roman"/>
          <w:b/>
          <w:lang w:val="uk-UA"/>
        </w:rPr>
        <w:t xml:space="preserve"> єдиного податку</w:t>
      </w:r>
    </w:p>
    <w:p w:rsidR="0030352B" w:rsidRDefault="002144C0" w:rsidP="00C5729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29 </w:t>
      </w:r>
      <w:r w:rsidR="0030352B">
        <w:rPr>
          <w:rFonts w:ascii="Times New Roman" w:hAnsi="Times New Roman"/>
          <w:lang w:val="uk-UA"/>
        </w:rPr>
        <w:t>жовтня</w:t>
      </w:r>
      <w:r w:rsidR="0030352B" w:rsidRPr="00AF155E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2019 </w:t>
      </w:r>
      <w:r w:rsidR="0030352B" w:rsidRPr="00AF155E">
        <w:rPr>
          <w:rFonts w:ascii="Times New Roman" w:hAnsi="Times New Roman"/>
          <w:lang w:val="uk-UA"/>
        </w:rPr>
        <w:t>року наб</w:t>
      </w:r>
      <w:r w:rsidR="0030352B">
        <w:rPr>
          <w:rFonts w:ascii="Times New Roman" w:hAnsi="Times New Roman"/>
          <w:lang w:val="uk-UA"/>
        </w:rPr>
        <w:t>рав</w:t>
      </w:r>
      <w:r w:rsidR="0030352B" w:rsidRPr="00AF155E">
        <w:rPr>
          <w:rFonts w:ascii="Times New Roman" w:hAnsi="Times New Roman"/>
          <w:lang w:val="uk-UA"/>
        </w:rPr>
        <w:t xml:space="preserve"> чинності наказ МФУ від 16.09.2019 № 379, яким</w:t>
      </w:r>
      <w:r w:rsidR="0030352B">
        <w:rPr>
          <w:rFonts w:ascii="Times New Roman" w:hAnsi="Times New Roman"/>
          <w:lang w:val="uk-UA"/>
        </w:rPr>
        <w:t>,</w:t>
      </w:r>
      <w:r w:rsidR="0030352B" w:rsidRPr="00AF155E">
        <w:rPr>
          <w:rFonts w:ascii="Times New Roman" w:hAnsi="Times New Roman"/>
          <w:lang w:val="uk-UA"/>
        </w:rPr>
        <w:t xml:space="preserve"> зокрема</w:t>
      </w:r>
      <w:r w:rsidR="0030352B">
        <w:rPr>
          <w:rFonts w:ascii="Times New Roman" w:hAnsi="Times New Roman"/>
          <w:lang w:val="uk-UA"/>
        </w:rPr>
        <w:t>,</w:t>
      </w:r>
      <w:r w:rsidR="0030352B" w:rsidRPr="00AF155E">
        <w:rPr>
          <w:rFonts w:ascii="Times New Roman" w:hAnsi="Times New Roman"/>
          <w:lang w:val="uk-UA"/>
        </w:rPr>
        <w:t xml:space="preserve"> внесені зміни до П(С)БО 10 «Дебіторська заборгованість» та П(С)ПО 11 «Зобов’язання». </w:t>
      </w:r>
    </w:p>
    <w:p w:rsidR="0030352B" w:rsidRPr="000542A0" w:rsidRDefault="0030352B" w:rsidP="00C57295">
      <w:pPr>
        <w:jc w:val="both"/>
        <w:rPr>
          <w:rFonts w:ascii="Times New Roman" w:hAnsi="Times New Roman"/>
        </w:rPr>
      </w:pPr>
      <w:r w:rsidRPr="00AF155E">
        <w:rPr>
          <w:rFonts w:ascii="Times New Roman" w:hAnsi="Times New Roman"/>
          <w:lang w:val="uk-UA"/>
        </w:rPr>
        <w:t>Зміни стосуються відображення у балансі довгострокової дебіторської та кредиторської заборгованостей</w:t>
      </w:r>
      <w:r>
        <w:rPr>
          <w:rFonts w:ascii="Times New Roman" w:hAnsi="Times New Roman"/>
          <w:lang w:val="uk-UA"/>
        </w:rPr>
        <w:t>. За новими правилами</w:t>
      </w:r>
      <w:r w:rsidRPr="00AF155E">
        <w:rPr>
          <w:rFonts w:ascii="Times New Roman" w:hAnsi="Times New Roman"/>
          <w:lang w:val="uk-UA"/>
        </w:rPr>
        <w:t xml:space="preserve"> вся довгострокова кредитор</w:t>
      </w:r>
      <w:bookmarkStart w:id="0" w:name="_GoBack"/>
      <w:bookmarkEnd w:id="0"/>
      <w:r w:rsidRPr="00AF155E">
        <w:rPr>
          <w:rFonts w:ascii="Times New Roman" w:hAnsi="Times New Roman"/>
          <w:lang w:val="uk-UA"/>
        </w:rPr>
        <w:t>ська та дебіторська заборгованості повинні відображатися в балансі за теперішньою вартістю</w:t>
      </w:r>
      <w:r>
        <w:rPr>
          <w:rFonts w:ascii="Times New Roman" w:hAnsi="Times New Roman"/>
          <w:lang w:val="uk-UA"/>
        </w:rPr>
        <w:t xml:space="preserve"> незалежно від того, нараховуються на таку заборгованість проценти чи ні</w:t>
      </w:r>
      <w:r w:rsidRPr="00AF155E">
        <w:rPr>
          <w:rFonts w:ascii="Times New Roman" w:hAnsi="Times New Roman"/>
          <w:lang w:val="uk-UA"/>
        </w:rPr>
        <w:t xml:space="preserve">. </w:t>
      </w:r>
    </w:p>
    <w:p w:rsidR="0030352B" w:rsidRPr="00AF155E" w:rsidRDefault="0030352B" w:rsidP="00C57295">
      <w:pPr>
        <w:jc w:val="both"/>
        <w:rPr>
          <w:rFonts w:ascii="Times New Roman" w:hAnsi="Times New Roman"/>
          <w:lang w:val="uk-UA"/>
        </w:rPr>
      </w:pPr>
      <w:r w:rsidRPr="00AF155E">
        <w:rPr>
          <w:rFonts w:ascii="Times New Roman" w:hAnsi="Times New Roman"/>
          <w:lang w:val="uk-UA"/>
        </w:rPr>
        <w:t>Термін «теперішня вартість» наведено в П(С)БО 11. Теперішня вартість —  це дисконтована сума майбутніх платежів (за вирахуванням суми очікуваного відшкодування), що, як очікують, буде необхідна для погашення зобов’язання в процесі звичайної діяльності підприємства. Таке ж визначення можна пристосувати й для теперішньої вартості дебіторської заборгованості.</w:t>
      </w:r>
    </w:p>
    <w:p w:rsidR="0030352B" w:rsidRPr="00AF155E" w:rsidRDefault="0030352B" w:rsidP="00C57295">
      <w:pPr>
        <w:jc w:val="both"/>
        <w:rPr>
          <w:rFonts w:ascii="Times New Roman" w:hAnsi="Times New Roman"/>
          <w:lang w:val="uk-UA"/>
        </w:rPr>
      </w:pPr>
      <w:r w:rsidRPr="00AF155E">
        <w:rPr>
          <w:rFonts w:ascii="Times New Roman" w:hAnsi="Times New Roman"/>
          <w:lang w:val="uk-UA"/>
        </w:rPr>
        <w:t>П(С)БО 10 та П(С)БО 11 не містять виключення, яку довгострокову заборгованість можна не дисконтувати, тому ці положення стосуються всієї довгострокової кредиторської та дебіторської заборгованості, наприклад заборгованості за відвантажені/отримані товари (роботи, послуги), за наданою/отриманою поворотною фінансовою допомогою, за отриманими/виданими векселями тощо. Проте варто відмітити, що дисконтується тільки </w:t>
      </w:r>
      <w:r w:rsidRPr="00AF155E">
        <w:rPr>
          <w:rFonts w:ascii="Times New Roman" w:hAnsi="Times New Roman"/>
          <w:bCs/>
          <w:lang w:val="uk-UA"/>
        </w:rPr>
        <w:t>та</w:t>
      </w:r>
      <w:r w:rsidRPr="00AF155E">
        <w:rPr>
          <w:rFonts w:ascii="Times New Roman" w:hAnsi="Times New Roman"/>
          <w:lang w:val="uk-UA"/>
        </w:rPr>
        <w:t xml:space="preserve"> довгострокова дебіторська і кредиторська заборгованість, яка повинна погашатися грошима. Адже теперішня вартість — це дисконтована сума саме </w:t>
      </w:r>
      <w:r w:rsidRPr="00AF155E">
        <w:rPr>
          <w:rFonts w:ascii="Times New Roman" w:hAnsi="Times New Roman"/>
          <w:bCs/>
          <w:lang w:val="uk-UA"/>
        </w:rPr>
        <w:t>майбутніх платежів</w:t>
      </w:r>
      <w:r w:rsidRPr="00AF155E">
        <w:rPr>
          <w:rFonts w:ascii="Times New Roman" w:hAnsi="Times New Roman"/>
          <w:lang w:val="uk-UA"/>
        </w:rPr>
        <w:t>.</w:t>
      </w:r>
    </w:p>
    <w:p w:rsidR="0030352B" w:rsidRPr="00AF155E" w:rsidRDefault="0030352B" w:rsidP="00C57295">
      <w:pPr>
        <w:jc w:val="both"/>
        <w:rPr>
          <w:rFonts w:ascii="Times New Roman" w:hAnsi="Times New Roman"/>
          <w:lang w:val="uk-UA"/>
        </w:rPr>
      </w:pPr>
      <w:r w:rsidRPr="00AF155E">
        <w:rPr>
          <w:rFonts w:ascii="Times New Roman" w:hAnsi="Times New Roman"/>
          <w:lang w:val="uk-UA"/>
        </w:rPr>
        <w:t xml:space="preserve">Особливістю дисконтування є те, що при відображенні довгострокової заборгованості за теперішньою вартістю у бухгалтерському обліку виникають доходи і витрати, </w:t>
      </w:r>
      <w:r>
        <w:rPr>
          <w:rFonts w:ascii="Times New Roman" w:hAnsi="Times New Roman"/>
          <w:lang w:val="uk-UA"/>
        </w:rPr>
        <w:t>-</w:t>
      </w:r>
      <w:r w:rsidRPr="00AF155E">
        <w:rPr>
          <w:rFonts w:ascii="Times New Roman" w:hAnsi="Times New Roman"/>
          <w:lang w:val="uk-UA"/>
        </w:rPr>
        <w:t xml:space="preserve"> при першому визнанні довгострокової заборгованості за теперішньою вартістю у позикодавця виникають витрати на суму дисконту, а у позичальника виникає дохід на суму дисконту. Поступово протягом строку погашення визнаний дисконт нівелюється нарахованими доходами</w:t>
      </w:r>
      <w:r>
        <w:rPr>
          <w:rFonts w:ascii="Times New Roman" w:hAnsi="Times New Roman"/>
          <w:lang w:val="uk-UA"/>
        </w:rPr>
        <w:t xml:space="preserve"> у позикодавця </w:t>
      </w:r>
      <w:r w:rsidRPr="00AF155E">
        <w:rPr>
          <w:rFonts w:ascii="Times New Roman" w:hAnsi="Times New Roman"/>
          <w:lang w:val="uk-UA"/>
        </w:rPr>
        <w:t>та витратами у позичальника.</w:t>
      </w:r>
    </w:p>
    <w:p w:rsidR="0030352B" w:rsidRPr="00AF155E" w:rsidRDefault="0030352B" w:rsidP="00C57295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AF155E">
        <w:rPr>
          <w:rFonts w:ascii="Times New Roman" w:hAnsi="Times New Roman"/>
          <w:lang w:val="uk-UA"/>
        </w:rPr>
        <w:t xml:space="preserve">Актуальним залишається питання необхідності проведення дисконтування довгострокової заборгованості для юридичних осіб - платників єдиного податку 3 групи (далі – платники єдиного податку), 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адже при розрахунку теперішньої вартості заборгованості виникають доходи від дисконтування, що можуть вплинути на розрахунок єдиного податку.</w:t>
      </w:r>
    </w:p>
    <w:p w:rsidR="0030352B" w:rsidRPr="00AF155E" w:rsidRDefault="0030352B" w:rsidP="005B70EF">
      <w:pPr>
        <w:jc w:val="both"/>
        <w:rPr>
          <w:rFonts w:ascii="Times New Roman" w:hAnsi="Times New Roman"/>
          <w:color w:val="000000"/>
          <w:u w:val="single"/>
          <w:shd w:val="clear" w:color="auto" w:fill="FFFFFF"/>
          <w:lang w:val="uk-UA"/>
        </w:rPr>
      </w:pPr>
      <w:r w:rsidRPr="00AF155E">
        <w:rPr>
          <w:rFonts w:ascii="Times New Roman" w:hAnsi="Times New Roman"/>
          <w:color w:val="000000"/>
          <w:u w:val="single"/>
          <w:shd w:val="clear" w:color="auto" w:fill="FFFFFF"/>
          <w:lang w:val="uk-UA"/>
        </w:rPr>
        <w:t>Бухгалтерський облік довгострокової заборгованості у платників єдиного податку</w:t>
      </w:r>
    </w:p>
    <w:p w:rsidR="0030352B" w:rsidRPr="00AF155E" w:rsidRDefault="0030352B" w:rsidP="00F16DDA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Як правило, більшість платників єдиного податку ведуть бухгалтерський облік за національними положеннями. Для розуміння, чи повинні платники єдиного податку відображати у балансі довгострокову заборгованість за теперішньою вартістю, необхідно звернутися до положень НП(С)БО 25 «Спрощена фінансова звітність», що регулює складання фінансової звітності такими підприємствами. Національн</w:t>
      </w:r>
      <w:r w:rsidR="00483D1B">
        <w:rPr>
          <w:rFonts w:ascii="Times New Roman" w:hAnsi="Times New Roman"/>
          <w:color w:val="000000"/>
          <w:shd w:val="clear" w:color="auto" w:fill="FFFFFF"/>
          <w:lang w:val="uk-UA"/>
        </w:rPr>
        <w:t>ий стандарт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не міст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>ять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винятків для платників єдиного податку щодо відображення у балансі довгострокової заборгованості, так само, як не містять винятк</w:t>
      </w:r>
      <w:r w:rsidR="00483D1B">
        <w:rPr>
          <w:rFonts w:ascii="Times New Roman" w:hAnsi="Times New Roman"/>
          <w:color w:val="000000"/>
          <w:shd w:val="clear" w:color="auto" w:fill="FFFFFF"/>
          <w:lang w:val="uk-UA"/>
        </w:rPr>
        <w:t>ів і самі П(С)БО 10 і П(С)БО 11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. </w:t>
      </w:r>
    </w:p>
    <w:p w:rsidR="0030352B" w:rsidRPr="00AF155E" w:rsidRDefault="0030352B" w:rsidP="00F16DDA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Що стосується визнання доходів і витрат від дисконтування платниками єдиного податку, то вони повинні визнавати їх у бухгалтерському обліку з метою складання фінансової звітності, що прямо передбачено п. 9 </w:t>
      </w:r>
      <w:r w:rsidR="00483D1B">
        <w:rPr>
          <w:rFonts w:ascii="Times New Roman" w:hAnsi="Times New Roman"/>
          <w:color w:val="000000"/>
          <w:shd w:val="clear" w:color="auto" w:fill="FFFFFF"/>
          <w:lang w:val="uk-UA"/>
        </w:rPr>
        <w:t xml:space="preserve">розділу І 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НП(С)БО 25.   </w:t>
      </w:r>
    </w:p>
    <w:p w:rsidR="0030352B" w:rsidRPr="00AF155E" w:rsidRDefault="0030352B" w:rsidP="00F16DDA">
      <w:pPr>
        <w:jc w:val="both"/>
        <w:rPr>
          <w:rFonts w:ascii="Times New Roman" w:hAnsi="Times New Roman"/>
          <w:color w:val="000000"/>
          <w:lang w:val="uk-UA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Отже платники єдиного податку проводять дисконтування довгострокової кредиторської і дебіторської заборгованості і визначають доходи і витрати від дисконтування відповідно до національних положень бухгалтерського обліку.</w:t>
      </w:r>
    </w:p>
    <w:p w:rsidR="0030352B" w:rsidRPr="00AF155E" w:rsidRDefault="0030352B" w:rsidP="00F16DDA">
      <w:pPr>
        <w:jc w:val="both"/>
        <w:rPr>
          <w:rFonts w:ascii="Times New Roman" w:hAnsi="Times New Roman"/>
          <w:color w:val="000000"/>
          <w:lang w:val="uk-UA"/>
        </w:rPr>
      </w:pPr>
      <w:r w:rsidRPr="00AF155E">
        <w:rPr>
          <w:rFonts w:ascii="Times New Roman" w:hAnsi="Times New Roman"/>
          <w:u w:val="single"/>
          <w:lang w:val="uk-UA"/>
        </w:rPr>
        <w:t xml:space="preserve">Періодичність проведення дисконтування і визнання доходів і витрат </w:t>
      </w:r>
    </w:p>
    <w:p w:rsidR="0030352B" w:rsidRPr="00AF155E" w:rsidRDefault="0030352B" w:rsidP="0036662E">
      <w:pPr>
        <w:jc w:val="both"/>
        <w:rPr>
          <w:rFonts w:ascii="Times New Roman" w:hAnsi="Times New Roman"/>
          <w:b/>
          <w:color w:val="666666"/>
          <w:shd w:val="clear" w:color="auto" w:fill="FFFFFF"/>
          <w:lang w:val="uk-UA"/>
        </w:rPr>
      </w:pPr>
      <w:r w:rsidRPr="00AF155E">
        <w:rPr>
          <w:rFonts w:ascii="Times New Roman" w:hAnsi="Times New Roman"/>
          <w:lang w:val="uk-UA"/>
        </w:rPr>
        <w:t>Положення П(С)БО 10 і П(С)БО 11 визначають, що довгострокові зобов’язання і дебіторську заборгованість потрібно відображати за теперішньою вартістю у балансі. Тобто, саме на дату балансу необхідно продисконтувати довгострокову заборгованість і відобразити її за теперішньою вартістю.</w:t>
      </w:r>
    </w:p>
    <w:p w:rsidR="0030352B" w:rsidRPr="00AF155E" w:rsidRDefault="0030352B" w:rsidP="0036662E">
      <w:pPr>
        <w:jc w:val="both"/>
        <w:rPr>
          <w:rFonts w:ascii="Times New Roman" w:hAnsi="Times New Roman"/>
          <w:lang w:val="uk-UA"/>
        </w:rPr>
      </w:pPr>
      <w:r w:rsidRPr="00AF155E">
        <w:rPr>
          <w:rFonts w:ascii="Times New Roman" w:hAnsi="Times New Roman"/>
          <w:lang w:val="uk-UA"/>
        </w:rPr>
        <w:lastRenderedPageBreak/>
        <w:t>Визначення терміну «дата балансу» наведено у П(С)БО 6 «Виправлення помилок і зміни у фінансових звітах». Дата балансу – дата,  на яку складений  баланс  підприємства.  Звичайно датою балансу є кінець останнього дня звітного періоду.</w:t>
      </w:r>
    </w:p>
    <w:p w:rsidR="0030352B" w:rsidRPr="00AF155E" w:rsidRDefault="0030352B" w:rsidP="0036662E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AF155E">
        <w:rPr>
          <w:rFonts w:ascii="Times New Roman" w:hAnsi="Times New Roman"/>
          <w:lang w:val="uk-UA"/>
        </w:rPr>
        <w:t xml:space="preserve">Строки подання фінансової звітності </w:t>
      </w:r>
      <w:r>
        <w:rPr>
          <w:rFonts w:ascii="Times New Roman" w:hAnsi="Times New Roman"/>
          <w:lang w:val="uk-UA"/>
        </w:rPr>
        <w:t xml:space="preserve">юридичними особами </w:t>
      </w:r>
      <w:r w:rsidRPr="00AF155E">
        <w:rPr>
          <w:rFonts w:ascii="Times New Roman" w:hAnsi="Times New Roman"/>
          <w:lang w:val="uk-UA"/>
        </w:rPr>
        <w:t xml:space="preserve">встановлені в Порядку подання фінансової звітності, затвердженому постановою Кабінету Міністрів України  від 28.02.2000 р. № 419 (далі – Порядок № 419). Відповідно до абзацу 16 п. 2 Порядку № 419 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підприємства, які ведуть спрощений бухгалтерський облік доходів та витрат відповідно до податкового законодавства (а це платники єдиного податку), подають відповідним органам скорочену за показниками річну фінансову звітність у складі балансу і звіту про фінансові результати.</w:t>
      </w:r>
    </w:p>
    <w:p w:rsidR="0030352B" w:rsidRPr="00AF155E" w:rsidRDefault="0030352B" w:rsidP="0036662E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hd w:val="clear" w:color="auto" w:fill="FFFFFF"/>
          <w:lang w:val="uk-UA"/>
        </w:rPr>
        <w:t>Таким чином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, для платників єдиного податку звітним періодом для подання балансу є рік, проміжну (квартальну) фінансову звітність вони можуть не складати і не подавати. Тому платники єдиного податку, у разі наявності довгострокової заборгованості, повинні дисконтувати її раз на рік під час складання річного балансу, відповідно і результати від дисконтування (доходи чи витрати) необхідно нараховувати і відображати у звіті про фінансові результати раз на рік. </w:t>
      </w:r>
    </w:p>
    <w:p w:rsidR="0030352B" w:rsidRPr="00AF155E" w:rsidRDefault="0030352B" w:rsidP="0036662E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При цьому платники єдиного податку можуть самі прийняти рішення про складання квартальної фінансової звітності, і тоді проводити дисконтування необхідно н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>а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кожну таку дату балансу. </w:t>
      </w:r>
    </w:p>
    <w:p w:rsidR="0030352B" w:rsidRPr="00AF155E" w:rsidRDefault="0030352B" w:rsidP="003257FC">
      <w:pPr>
        <w:jc w:val="both"/>
        <w:rPr>
          <w:rFonts w:ascii="Times New Roman" w:hAnsi="Times New Roman"/>
          <w:color w:val="000000"/>
          <w:u w:val="single"/>
          <w:shd w:val="clear" w:color="auto" w:fill="FFFFFF"/>
          <w:lang w:val="uk-UA"/>
        </w:rPr>
      </w:pPr>
      <w:r w:rsidRPr="00AF155E">
        <w:rPr>
          <w:rFonts w:ascii="Times New Roman" w:hAnsi="Times New Roman"/>
          <w:color w:val="000000"/>
          <w:u w:val="single"/>
          <w:shd w:val="clear" w:color="auto" w:fill="FFFFFF"/>
          <w:lang w:val="uk-UA"/>
        </w:rPr>
        <w:t>Вплив дисконтування на розрахунок єдиного податку</w:t>
      </w:r>
    </w:p>
    <w:p w:rsidR="0030352B" w:rsidRPr="00AF155E" w:rsidRDefault="0030352B" w:rsidP="008A1D35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Об’єктом оподаткування для платників єдиного податку 3 групи є дохід, отриманий протягом звітного періоду. </w:t>
      </w:r>
      <w:r w:rsidRPr="00AF155E">
        <w:rPr>
          <w:rFonts w:ascii="Times New Roman" w:hAnsi="Times New Roman"/>
          <w:color w:val="222222"/>
          <w:lang w:val="uk-UA" w:eastAsia="ru-RU"/>
        </w:rPr>
        <w:t>До доходу платника єдиного податку включаються тільки доходи, наведені в п. 292.1 ПК України. Це будь-який дохід, отриманий в:</w:t>
      </w:r>
    </w:p>
    <w:p w:rsidR="0030352B" w:rsidRPr="00AF155E" w:rsidRDefault="0030352B" w:rsidP="004750F4">
      <w:pPr>
        <w:pStyle w:val="a7"/>
        <w:numPr>
          <w:ilvl w:val="0"/>
          <w:numId w:val="2"/>
        </w:numPr>
        <w:shd w:val="clear" w:color="auto" w:fill="FFFFFF"/>
        <w:contextualSpacing w:val="0"/>
        <w:jc w:val="both"/>
        <w:rPr>
          <w:rFonts w:ascii="Times New Roman" w:hAnsi="Times New Roman"/>
          <w:color w:val="222222"/>
          <w:lang w:val="uk-UA" w:eastAsia="ru-RU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грошовій формі (готівковій та/або безготівковій);</w:t>
      </w:r>
    </w:p>
    <w:p w:rsidR="0030352B" w:rsidRPr="00AF155E" w:rsidRDefault="0030352B" w:rsidP="004750F4">
      <w:pPr>
        <w:pStyle w:val="a7"/>
        <w:numPr>
          <w:ilvl w:val="0"/>
          <w:numId w:val="2"/>
        </w:numPr>
        <w:shd w:val="clear" w:color="auto" w:fill="FFFFFF"/>
        <w:contextualSpacing w:val="0"/>
        <w:jc w:val="both"/>
        <w:rPr>
          <w:rFonts w:ascii="Times New Roman" w:hAnsi="Times New Roman"/>
          <w:color w:val="222222"/>
          <w:lang w:val="uk-UA" w:eastAsia="ru-RU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матеріальній або нематеріальній формі (безоплатно отримані товари, роботи, послуги, сума кредиторської заборгованості, за якою минув строк позовної давності).</w:t>
      </w:r>
    </w:p>
    <w:p w:rsidR="0030352B" w:rsidRPr="00AF155E" w:rsidRDefault="0030352B" w:rsidP="003257FC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hd w:val="clear" w:color="auto" w:fill="FFFFFF"/>
          <w:lang w:val="uk-UA"/>
        </w:rPr>
        <w:t>Я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к випливає із положень ПК України, а саме п. 292.13 та п.п. 296.1.3 ПК України, платники єдиного податку 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>з метою обрахунку об</w:t>
      </w:r>
      <w:r w:rsidRPr="00AE7D3C">
        <w:rPr>
          <w:rFonts w:ascii="Times New Roman" w:hAnsi="Times New Roman"/>
          <w:color w:val="000000"/>
          <w:shd w:val="clear" w:color="auto" w:fill="FFFFFF"/>
          <w:lang w:val="uk-UA"/>
        </w:rPr>
        <w:t>’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єкта оподаткування 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мають використовувати дані спрощеного бухгалтерського обліку щодо доходів та витрат з урахуванням норм п. 44.2 і п. 44.3 ПК Укра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>їни. Проте, ні положення ПК України, ні положення бухгалтерського обліку не розкривають методики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ведення такого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обліку з метою оподаткування.</w:t>
      </w:r>
    </w:p>
    <w:p w:rsidR="0030352B" w:rsidRPr="00AF155E" w:rsidRDefault="0030352B" w:rsidP="003257FC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hd w:val="clear" w:color="auto" w:fill="FFFFFF"/>
          <w:lang w:val="uk-UA"/>
        </w:rPr>
        <w:t>Аналіз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норм ПК України</w:t>
      </w: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дає підстави для висновку, що оскільки </w:t>
      </w: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дохід від дисконтування є розрахунковою величиною, а не реальним доходом у вигляді коштів чи майна, він не повинен вплинути на розрахунок єдиного податку.</w:t>
      </w:r>
    </w:p>
    <w:p w:rsidR="0030352B" w:rsidRPr="00AF155E" w:rsidRDefault="0030352B" w:rsidP="003257FC">
      <w:pPr>
        <w:jc w:val="both"/>
        <w:rPr>
          <w:rFonts w:ascii="Times New Roman" w:hAnsi="Times New Roman"/>
          <w:color w:val="222222"/>
          <w:lang w:val="uk-UA" w:eastAsia="ru-RU"/>
        </w:rPr>
      </w:pPr>
      <w:r w:rsidRPr="00AF155E">
        <w:rPr>
          <w:rFonts w:ascii="Times New Roman" w:hAnsi="Times New Roman"/>
          <w:color w:val="000000"/>
          <w:shd w:val="clear" w:color="auto" w:fill="FFFFFF"/>
          <w:lang w:val="uk-UA"/>
        </w:rPr>
        <w:t>Проте, контролюючі органи можуть подивитись на цю ситуацію інакше. Одним з прикладів включення до оподатковуваного доходу платника єдиного податку розрахункової величини, є включення</w:t>
      </w:r>
      <w:r w:rsidRPr="00AF155E">
        <w:rPr>
          <w:rFonts w:ascii="Times New Roman" w:hAnsi="Times New Roman"/>
          <w:color w:val="222222"/>
          <w:lang w:val="uk-UA" w:eastAsia="ru-RU"/>
        </w:rPr>
        <w:t xml:space="preserve"> курсових різниць. В своїх роз’ясненнях контролюючі органи пояснюють необхідність їх включення до доходу тим, що такі доходи визнаються відповідно до положень бухгалтерського обліку. Щоправда, як вже зазначалось вище, доходи і витрати за положеннями бухгалтерського обліку визнаються платниками єдиного податку для складання фінансової звітності, а не для обчислення єдиного податку. Але податківці у своїх роз’ясненнях цей момент не враховують. При цьому, по аналогії з курсовими різницями, витрати від дисконтування контролюючі органи можуть не дозволити враховувати при розрахунку об’єкта для оподаткування єдиним податком, тобто необхідно буде враховувати тільки доходи.</w:t>
      </w:r>
    </w:p>
    <w:p w:rsidR="0030352B" w:rsidRPr="00AF155E" w:rsidRDefault="0030352B" w:rsidP="003257FC">
      <w:pPr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lang w:val="uk-UA" w:eastAsia="ru-RU"/>
        </w:rPr>
        <w:t>Беручи до уваги</w:t>
      </w:r>
      <w:r w:rsidRPr="00AF155E">
        <w:rPr>
          <w:rFonts w:ascii="Times New Roman" w:hAnsi="Times New Roman"/>
          <w:color w:val="222222"/>
          <w:lang w:val="uk-UA" w:eastAsia="ru-RU"/>
        </w:rPr>
        <w:t xml:space="preserve"> такі роз’яснення контролюючих органів, ті платники єдиного податку, які приймуть рішення не визнавати дохід від дисконтування при розрахунку єдиного податку, можуть зіткнутися з тим, що таке рішення їм доведеться відстоювати у суді.</w:t>
      </w:r>
    </w:p>
    <w:p w:rsidR="0030352B" w:rsidRPr="00AF155E" w:rsidRDefault="0030352B" w:rsidP="003257FC">
      <w:pPr>
        <w:jc w:val="both"/>
        <w:rPr>
          <w:rFonts w:ascii="Times New Roman" w:hAnsi="Times New Roman"/>
          <w:color w:val="222222"/>
          <w:lang w:val="uk-UA" w:eastAsia="ru-RU"/>
        </w:rPr>
      </w:pPr>
      <w:r w:rsidRPr="00AF155E">
        <w:rPr>
          <w:rFonts w:ascii="Times New Roman" w:hAnsi="Times New Roman"/>
          <w:color w:val="222222"/>
          <w:lang w:val="uk-UA" w:eastAsia="ru-RU"/>
        </w:rPr>
        <w:t xml:space="preserve">Тим платникам єдиного податку, які все ж таки приймуть рішення про врахування таких доходів при розрахунку податку, необхідно зрозуміти, у якому періоді включати </w:t>
      </w:r>
      <w:r w:rsidR="00D04CF8">
        <w:rPr>
          <w:rFonts w:ascii="Times New Roman" w:hAnsi="Times New Roman"/>
          <w:color w:val="222222"/>
          <w:lang w:val="uk-UA" w:eastAsia="ru-RU"/>
        </w:rPr>
        <w:t>такий дохід, так як декларація платника</w:t>
      </w:r>
      <w:r w:rsidRPr="00AF155E">
        <w:rPr>
          <w:rFonts w:ascii="Times New Roman" w:hAnsi="Times New Roman"/>
          <w:color w:val="222222"/>
          <w:lang w:val="uk-UA" w:eastAsia="ru-RU"/>
        </w:rPr>
        <w:t xml:space="preserve"> єдиного податку складається наростаючим</w:t>
      </w:r>
      <w:r>
        <w:rPr>
          <w:rFonts w:ascii="Times New Roman" w:hAnsi="Times New Roman"/>
          <w:color w:val="222222"/>
          <w:lang w:val="uk-UA" w:eastAsia="ru-RU"/>
        </w:rPr>
        <w:t xml:space="preserve"> підсумком щокварталу, а баланс, як правило, </w:t>
      </w:r>
      <w:r w:rsidRPr="00AF155E">
        <w:rPr>
          <w:rFonts w:ascii="Times New Roman" w:hAnsi="Times New Roman"/>
          <w:color w:val="222222"/>
          <w:lang w:val="uk-UA" w:eastAsia="ru-RU"/>
        </w:rPr>
        <w:t>складається раз у рік.</w:t>
      </w:r>
    </w:p>
    <w:p w:rsidR="0030352B" w:rsidRPr="00AF155E" w:rsidRDefault="0030352B" w:rsidP="003257FC">
      <w:pPr>
        <w:jc w:val="both"/>
        <w:rPr>
          <w:rFonts w:ascii="Times New Roman" w:hAnsi="Times New Roman"/>
          <w:color w:val="222222"/>
          <w:lang w:val="uk-UA" w:eastAsia="ru-RU"/>
        </w:rPr>
      </w:pPr>
      <w:r w:rsidRPr="00AF155E">
        <w:rPr>
          <w:rFonts w:ascii="Times New Roman" w:hAnsi="Times New Roman"/>
          <w:color w:val="222222"/>
          <w:lang w:val="uk-UA" w:eastAsia="ru-RU"/>
        </w:rPr>
        <w:lastRenderedPageBreak/>
        <w:t>Якщо звернутися до п. 292.6 ПК України, то датою отримання доходу платника єдиного податку є дата надходження коштів у грошовій (готівковій або безготівковій) формі, дата підписанн</w:t>
      </w:r>
      <w:r>
        <w:rPr>
          <w:rFonts w:ascii="Times New Roman" w:hAnsi="Times New Roman"/>
          <w:color w:val="222222"/>
          <w:lang w:val="uk-UA" w:eastAsia="ru-RU"/>
        </w:rPr>
        <w:t>я платником єдиного податку акту</w:t>
      </w:r>
      <w:r w:rsidRPr="00AF155E">
        <w:rPr>
          <w:rFonts w:ascii="Times New Roman" w:hAnsi="Times New Roman"/>
          <w:color w:val="222222"/>
          <w:lang w:val="uk-UA" w:eastAsia="ru-RU"/>
        </w:rPr>
        <w:t xml:space="preserve"> приймання-передачі безоплатно отриманих товарів (робіт, послуг). </w:t>
      </w:r>
    </w:p>
    <w:p w:rsidR="0030352B" w:rsidRPr="00AF155E" w:rsidRDefault="002368EE" w:rsidP="00454123">
      <w:pPr>
        <w:jc w:val="both"/>
        <w:rPr>
          <w:rFonts w:ascii="Times New Roman" w:hAnsi="Times New Roman"/>
          <w:b/>
          <w:color w:val="000000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lang w:val="uk-UA" w:eastAsia="ru-RU"/>
        </w:rPr>
        <w:t xml:space="preserve">Тому, </w:t>
      </w:r>
      <w:r w:rsidR="0030352B" w:rsidRPr="00AF155E">
        <w:rPr>
          <w:rFonts w:ascii="Times New Roman" w:hAnsi="Times New Roman"/>
          <w:color w:val="222222"/>
          <w:lang w:val="uk-UA" w:eastAsia="ru-RU"/>
        </w:rPr>
        <w:t xml:space="preserve">так як ПК України не визначає дату визнання таких доходів, включати їх можна по даті нарахування доходів від дисконтування у бухгалтерському обліку. Тобто відобразити такі доходи у декларації з єдиного податку можна у тому ж періоді, у якому вони </w:t>
      </w:r>
      <w:r w:rsidR="0030352B">
        <w:rPr>
          <w:rFonts w:ascii="Times New Roman" w:hAnsi="Times New Roman"/>
          <w:color w:val="222222"/>
          <w:lang w:val="uk-UA" w:eastAsia="ru-RU"/>
        </w:rPr>
        <w:t>були нараховані</w:t>
      </w:r>
      <w:r w:rsidR="0030352B" w:rsidRPr="00AF155E">
        <w:rPr>
          <w:rFonts w:ascii="Times New Roman" w:hAnsi="Times New Roman"/>
          <w:color w:val="222222"/>
          <w:lang w:val="uk-UA" w:eastAsia="ru-RU"/>
        </w:rPr>
        <w:t xml:space="preserve"> з метою</w:t>
      </w:r>
      <w:r w:rsidR="0030352B">
        <w:rPr>
          <w:rFonts w:ascii="Times New Roman" w:hAnsi="Times New Roman"/>
          <w:color w:val="222222"/>
          <w:lang w:val="uk-UA" w:eastAsia="ru-RU"/>
        </w:rPr>
        <w:t xml:space="preserve"> відображення</w:t>
      </w:r>
      <w:r w:rsidR="0030352B" w:rsidRPr="00AF155E">
        <w:rPr>
          <w:rFonts w:ascii="Times New Roman" w:hAnsi="Times New Roman"/>
          <w:color w:val="222222"/>
          <w:lang w:val="uk-UA" w:eastAsia="ru-RU"/>
        </w:rPr>
        <w:t xml:space="preserve"> </w:t>
      </w:r>
      <w:r w:rsidR="0030352B">
        <w:rPr>
          <w:rFonts w:ascii="Times New Roman" w:hAnsi="Times New Roman"/>
          <w:color w:val="222222"/>
          <w:lang w:val="uk-UA" w:eastAsia="ru-RU"/>
        </w:rPr>
        <w:t>у фінансовій звітності.</w:t>
      </w:r>
    </w:p>
    <w:sectPr w:rsidR="0030352B" w:rsidRPr="00AF155E" w:rsidSect="00635B15">
      <w:footerReference w:type="default" r:id="rId7"/>
      <w:pgSz w:w="11906" w:h="16838"/>
      <w:pgMar w:top="709" w:right="850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126" w:rsidRDefault="005B0126" w:rsidP="007955C4">
      <w:pPr>
        <w:spacing w:after="0" w:line="240" w:lineRule="auto"/>
      </w:pPr>
      <w:r>
        <w:separator/>
      </w:r>
    </w:p>
  </w:endnote>
  <w:endnote w:type="continuationSeparator" w:id="0">
    <w:p w:rsidR="005B0126" w:rsidRDefault="005B0126" w:rsidP="0079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2B" w:rsidRPr="00635B15" w:rsidRDefault="0030352B">
    <w:pPr>
      <w:pStyle w:val="aa"/>
      <w:jc w:val="right"/>
      <w:rPr>
        <w:rFonts w:ascii="Times New Roman" w:hAnsi="Times New Roman"/>
        <w:sz w:val="20"/>
        <w:szCs w:val="20"/>
      </w:rPr>
    </w:pPr>
    <w:r w:rsidRPr="00635B15">
      <w:rPr>
        <w:rFonts w:ascii="Times New Roman" w:hAnsi="Times New Roman"/>
        <w:sz w:val="20"/>
        <w:szCs w:val="20"/>
      </w:rPr>
      <w:fldChar w:fldCharType="begin"/>
    </w:r>
    <w:r w:rsidRPr="00635B15">
      <w:rPr>
        <w:rFonts w:ascii="Times New Roman" w:hAnsi="Times New Roman"/>
        <w:sz w:val="20"/>
        <w:szCs w:val="20"/>
      </w:rPr>
      <w:instrText>PAGE   \* MERGEFORMAT</w:instrText>
    </w:r>
    <w:r w:rsidRPr="00635B15">
      <w:rPr>
        <w:rFonts w:ascii="Times New Roman" w:hAnsi="Times New Roman"/>
        <w:sz w:val="20"/>
        <w:szCs w:val="20"/>
      </w:rPr>
      <w:fldChar w:fldCharType="separate"/>
    </w:r>
    <w:r w:rsidR="000542A0">
      <w:rPr>
        <w:rFonts w:ascii="Times New Roman" w:hAnsi="Times New Roman"/>
        <w:noProof/>
        <w:sz w:val="20"/>
        <w:szCs w:val="20"/>
      </w:rPr>
      <w:t>1</w:t>
    </w:r>
    <w:r w:rsidRPr="00635B15">
      <w:rPr>
        <w:rFonts w:ascii="Times New Roman" w:hAnsi="Times New Roman"/>
        <w:sz w:val="20"/>
        <w:szCs w:val="20"/>
      </w:rPr>
      <w:fldChar w:fldCharType="end"/>
    </w:r>
  </w:p>
  <w:p w:rsidR="0030352B" w:rsidRDefault="003035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126" w:rsidRDefault="005B0126" w:rsidP="007955C4">
      <w:pPr>
        <w:spacing w:after="0" w:line="240" w:lineRule="auto"/>
      </w:pPr>
      <w:r>
        <w:separator/>
      </w:r>
    </w:p>
  </w:footnote>
  <w:footnote w:type="continuationSeparator" w:id="0">
    <w:p w:rsidR="005B0126" w:rsidRDefault="005B0126" w:rsidP="0079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B7D62"/>
    <w:multiLevelType w:val="hybridMultilevel"/>
    <w:tmpl w:val="BCA6C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5308C6"/>
    <w:multiLevelType w:val="multilevel"/>
    <w:tmpl w:val="63DA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58"/>
    <w:rsid w:val="00005768"/>
    <w:rsid w:val="000106A6"/>
    <w:rsid w:val="000139D3"/>
    <w:rsid w:val="0002103A"/>
    <w:rsid w:val="00040986"/>
    <w:rsid w:val="000542A0"/>
    <w:rsid w:val="00063FB1"/>
    <w:rsid w:val="0006725C"/>
    <w:rsid w:val="00071411"/>
    <w:rsid w:val="000B0D38"/>
    <w:rsid w:val="000B6A53"/>
    <w:rsid w:val="000C3298"/>
    <w:rsid w:val="000D2AC2"/>
    <w:rsid w:val="000D5FD4"/>
    <w:rsid w:val="000E258C"/>
    <w:rsid w:val="000E4F24"/>
    <w:rsid w:val="000F08F7"/>
    <w:rsid w:val="000F3F70"/>
    <w:rsid w:val="000F4806"/>
    <w:rsid w:val="00115C50"/>
    <w:rsid w:val="00117ED8"/>
    <w:rsid w:val="0012096A"/>
    <w:rsid w:val="001348C3"/>
    <w:rsid w:val="00151958"/>
    <w:rsid w:val="00156292"/>
    <w:rsid w:val="00161D96"/>
    <w:rsid w:val="001638D6"/>
    <w:rsid w:val="00166111"/>
    <w:rsid w:val="0017392A"/>
    <w:rsid w:val="00180B5B"/>
    <w:rsid w:val="001853FF"/>
    <w:rsid w:val="001A10AA"/>
    <w:rsid w:val="001B5FE9"/>
    <w:rsid w:val="001D25E1"/>
    <w:rsid w:val="001E29A0"/>
    <w:rsid w:val="001F0502"/>
    <w:rsid w:val="001F19AF"/>
    <w:rsid w:val="00200856"/>
    <w:rsid w:val="00202A18"/>
    <w:rsid w:val="00206D77"/>
    <w:rsid w:val="002144C0"/>
    <w:rsid w:val="00215E77"/>
    <w:rsid w:val="00223C67"/>
    <w:rsid w:val="002368EE"/>
    <w:rsid w:val="0024205D"/>
    <w:rsid w:val="00242724"/>
    <w:rsid w:val="00255B79"/>
    <w:rsid w:val="0026307F"/>
    <w:rsid w:val="002707DA"/>
    <w:rsid w:val="0028446D"/>
    <w:rsid w:val="002A1104"/>
    <w:rsid w:val="002E7E5B"/>
    <w:rsid w:val="002F725B"/>
    <w:rsid w:val="0030352B"/>
    <w:rsid w:val="00311739"/>
    <w:rsid w:val="003257FC"/>
    <w:rsid w:val="0033421F"/>
    <w:rsid w:val="00346BE1"/>
    <w:rsid w:val="00363475"/>
    <w:rsid w:val="0036591B"/>
    <w:rsid w:val="0036662E"/>
    <w:rsid w:val="00372328"/>
    <w:rsid w:val="003734F9"/>
    <w:rsid w:val="003C2FBD"/>
    <w:rsid w:val="003C4818"/>
    <w:rsid w:val="003F6F85"/>
    <w:rsid w:val="00415C34"/>
    <w:rsid w:val="00420347"/>
    <w:rsid w:val="00433D7D"/>
    <w:rsid w:val="00435731"/>
    <w:rsid w:val="00454123"/>
    <w:rsid w:val="004543AB"/>
    <w:rsid w:val="0046239C"/>
    <w:rsid w:val="00470AD3"/>
    <w:rsid w:val="004750F4"/>
    <w:rsid w:val="00483D1B"/>
    <w:rsid w:val="004B5F7C"/>
    <w:rsid w:val="004C367D"/>
    <w:rsid w:val="004C75B9"/>
    <w:rsid w:val="004D5B8E"/>
    <w:rsid w:val="004E0573"/>
    <w:rsid w:val="004E226A"/>
    <w:rsid w:val="004F5216"/>
    <w:rsid w:val="00506189"/>
    <w:rsid w:val="00524700"/>
    <w:rsid w:val="00526B82"/>
    <w:rsid w:val="00530FFA"/>
    <w:rsid w:val="00537DC6"/>
    <w:rsid w:val="00540964"/>
    <w:rsid w:val="00557B3D"/>
    <w:rsid w:val="005724E4"/>
    <w:rsid w:val="00574EE0"/>
    <w:rsid w:val="00576F0C"/>
    <w:rsid w:val="00586D5C"/>
    <w:rsid w:val="005B0126"/>
    <w:rsid w:val="005B70EF"/>
    <w:rsid w:val="005B75F5"/>
    <w:rsid w:val="005C54E2"/>
    <w:rsid w:val="005D0E2F"/>
    <w:rsid w:val="005D53B7"/>
    <w:rsid w:val="005D56EB"/>
    <w:rsid w:val="005D7071"/>
    <w:rsid w:val="005E1E52"/>
    <w:rsid w:val="005F4CD7"/>
    <w:rsid w:val="006049E7"/>
    <w:rsid w:val="00605B51"/>
    <w:rsid w:val="00621F48"/>
    <w:rsid w:val="00635B15"/>
    <w:rsid w:val="0065237E"/>
    <w:rsid w:val="00663FEE"/>
    <w:rsid w:val="00666CB5"/>
    <w:rsid w:val="0069266F"/>
    <w:rsid w:val="006947C3"/>
    <w:rsid w:val="006B6AF8"/>
    <w:rsid w:val="006C446C"/>
    <w:rsid w:val="006C5FBA"/>
    <w:rsid w:val="006E0C3C"/>
    <w:rsid w:val="006F5274"/>
    <w:rsid w:val="007575D9"/>
    <w:rsid w:val="0076498F"/>
    <w:rsid w:val="007746E7"/>
    <w:rsid w:val="00781DFB"/>
    <w:rsid w:val="00790B3C"/>
    <w:rsid w:val="007919F6"/>
    <w:rsid w:val="0079540A"/>
    <w:rsid w:val="007955C4"/>
    <w:rsid w:val="007956DB"/>
    <w:rsid w:val="007C0C23"/>
    <w:rsid w:val="007D0138"/>
    <w:rsid w:val="007E4864"/>
    <w:rsid w:val="008219F2"/>
    <w:rsid w:val="0084491F"/>
    <w:rsid w:val="00847DD8"/>
    <w:rsid w:val="00871340"/>
    <w:rsid w:val="008934E4"/>
    <w:rsid w:val="008A1D35"/>
    <w:rsid w:val="008A5CF0"/>
    <w:rsid w:val="008C6A50"/>
    <w:rsid w:val="0090226A"/>
    <w:rsid w:val="00917160"/>
    <w:rsid w:val="00922E9A"/>
    <w:rsid w:val="009369CB"/>
    <w:rsid w:val="00937950"/>
    <w:rsid w:val="00947BDE"/>
    <w:rsid w:val="00965FC3"/>
    <w:rsid w:val="00973CB3"/>
    <w:rsid w:val="00981DF8"/>
    <w:rsid w:val="009839A6"/>
    <w:rsid w:val="00987DAC"/>
    <w:rsid w:val="0099331E"/>
    <w:rsid w:val="009B184A"/>
    <w:rsid w:val="009C79D3"/>
    <w:rsid w:val="009D3540"/>
    <w:rsid w:val="009E4102"/>
    <w:rsid w:val="009E6C8C"/>
    <w:rsid w:val="009F1C4D"/>
    <w:rsid w:val="009F48AF"/>
    <w:rsid w:val="009F7040"/>
    <w:rsid w:val="009F785D"/>
    <w:rsid w:val="00A162E1"/>
    <w:rsid w:val="00A16C91"/>
    <w:rsid w:val="00A84DFF"/>
    <w:rsid w:val="00A87DE0"/>
    <w:rsid w:val="00A95F24"/>
    <w:rsid w:val="00AA6897"/>
    <w:rsid w:val="00AA7C0E"/>
    <w:rsid w:val="00AB3553"/>
    <w:rsid w:val="00AC7CD2"/>
    <w:rsid w:val="00AE125E"/>
    <w:rsid w:val="00AE7D3C"/>
    <w:rsid w:val="00AF155E"/>
    <w:rsid w:val="00B10649"/>
    <w:rsid w:val="00B72C9D"/>
    <w:rsid w:val="00B75D30"/>
    <w:rsid w:val="00B80219"/>
    <w:rsid w:val="00BA2973"/>
    <w:rsid w:val="00BA2E06"/>
    <w:rsid w:val="00BA3FFE"/>
    <w:rsid w:val="00BC1EAB"/>
    <w:rsid w:val="00BD63DC"/>
    <w:rsid w:val="00BE47FB"/>
    <w:rsid w:val="00BE620F"/>
    <w:rsid w:val="00BF588F"/>
    <w:rsid w:val="00C067C1"/>
    <w:rsid w:val="00C208F1"/>
    <w:rsid w:val="00C209AD"/>
    <w:rsid w:val="00C25204"/>
    <w:rsid w:val="00C26ED1"/>
    <w:rsid w:val="00C449F7"/>
    <w:rsid w:val="00C5671B"/>
    <w:rsid w:val="00C57295"/>
    <w:rsid w:val="00C606DC"/>
    <w:rsid w:val="00C60BB3"/>
    <w:rsid w:val="00C773A3"/>
    <w:rsid w:val="00C77C8C"/>
    <w:rsid w:val="00C83C4F"/>
    <w:rsid w:val="00CA4589"/>
    <w:rsid w:val="00CC024B"/>
    <w:rsid w:val="00CD472D"/>
    <w:rsid w:val="00CD7AA1"/>
    <w:rsid w:val="00CF5AE0"/>
    <w:rsid w:val="00CF6C25"/>
    <w:rsid w:val="00D00F12"/>
    <w:rsid w:val="00D01B20"/>
    <w:rsid w:val="00D04CF8"/>
    <w:rsid w:val="00D134BB"/>
    <w:rsid w:val="00D35CFD"/>
    <w:rsid w:val="00D46A04"/>
    <w:rsid w:val="00D62590"/>
    <w:rsid w:val="00D720B0"/>
    <w:rsid w:val="00D83177"/>
    <w:rsid w:val="00D93881"/>
    <w:rsid w:val="00D97BFC"/>
    <w:rsid w:val="00DA0134"/>
    <w:rsid w:val="00DB4E8F"/>
    <w:rsid w:val="00DD3E82"/>
    <w:rsid w:val="00DE06C9"/>
    <w:rsid w:val="00E037C6"/>
    <w:rsid w:val="00E27AAE"/>
    <w:rsid w:val="00E37B34"/>
    <w:rsid w:val="00E37C3E"/>
    <w:rsid w:val="00E506A8"/>
    <w:rsid w:val="00E5390B"/>
    <w:rsid w:val="00E57B74"/>
    <w:rsid w:val="00E63759"/>
    <w:rsid w:val="00E63A39"/>
    <w:rsid w:val="00E743AA"/>
    <w:rsid w:val="00E77257"/>
    <w:rsid w:val="00E86AC8"/>
    <w:rsid w:val="00E86DF7"/>
    <w:rsid w:val="00EA64B2"/>
    <w:rsid w:val="00EA7AB0"/>
    <w:rsid w:val="00ED0B28"/>
    <w:rsid w:val="00ED6729"/>
    <w:rsid w:val="00EE614F"/>
    <w:rsid w:val="00EF0640"/>
    <w:rsid w:val="00EF2DA4"/>
    <w:rsid w:val="00EF4B68"/>
    <w:rsid w:val="00F148F6"/>
    <w:rsid w:val="00F16DDA"/>
    <w:rsid w:val="00F25EAC"/>
    <w:rsid w:val="00F27FC7"/>
    <w:rsid w:val="00F326B4"/>
    <w:rsid w:val="00F351B9"/>
    <w:rsid w:val="00F53AA7"/>
    <w:rsid w:val="00F6690D"/>
    <w:rsid w:val="00F94F58"/>
    <w:rsid w:val="00FA11FF"/>
    <w:rsid w:val="00FA5573"/>
    <w:rsid w:val="00FB2A96"/>
    <w:rsid w:val="00FC0353"/>
    <w:rsid w:val="00FD24C5"/>
    <w:rsid w:val="00FF2B9E"/>
    <w:rsid w:val="00FF3EC9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19C3A1-73BA-4FDC-869F-2415380F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02A18"/>
    <w:rPr>
      <w:rFonts w:cs="Times New Roman"/>
      <w:color w:val="0563C1"/>
      <w:u w:val="single"/>
    </w:rPr>
  </w:style>
  <w:style w:type="character" w:styleId="a4">
    <w:name w:val="Emphasis"/>
    <w:uiPriority w:val="99"/>
    <w:qFormat/>
    <w:rsid w:val="00B72C9D"/>
    <w:rPr>
      <w:rFonts w:cs="Times New Roman"/>
      <w:i/>
      <w:iCs/>
    </w:rPr>
  </w:style>
  <w:style w:type="character" w:styleId="a5">
    <w:name w:val="Strong"/>
    <w:uiPriority w:val="99"/>
    <w:qFormat/>
    <w:rsid w:val="00B72C9D"/>
    <w:rPr>
      <w:rFonts w:cs="Times New Roman"/>
      <w:b/>
      <w:bCs/>
    </w:rPr>
  </w:style>
  <w:style w:type="paragraph" w:styleId="a6">
    <w:name w:val="Normal (Web)"/>
    <w:basedOn w:val="a"/>
    <w:uiPriority w:val="99"/>
    <w:rsid w:val="00E50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F53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uiPriority w:val="99"/>
    <w:rsid w:val="00F53AA7"/>
    <w:rPr>
      <w:rFonts w:cs="Times New Roman"/>
    </w:rPr>
  </w:style>
  <w:style w:type="paragraph" w:styleId="a7">
    <w:name w:val="List Paragraph"/>
    <w:basedOn w:val="a"/>
    <w:uiPriority w:val="99"/>
    <w:qFormat/>
    <w:rsid w:val="00C067C1"/>
    <w:pPr>
      <w:ind w:left="720"/>
      <w:contextualSpacing/>
    </w:pPr>
  </w:style>
  <w:style w:type="paragraph" w:styleId="a8">
    <w:name w:val="header"/>
    <w:basedOn w:val="a"/>
    <w:link w:val="a9"/>
    <w:uiPriority w:val="99"/>
    <w:rsid w:val="00795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7955C4"/>
    <w:rPr>
      <w:rFonts w:cs="Times New Roman"/>
    </w:rPr>
  </w:style>
  <w:style w:type="paragraph" w:styleId="aa">
    <w:name w:val="footer"/>
    <w:basedOn w:val="a"/>
    <w:link w:val="ab"/>
    <w:uiPriority w:val="99"/>
    <w:rsid w:val="00795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955C4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EF2D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65C7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Дисконтування довгострокової заборгованості: особливості обліку длч платників єдиного податку</vt:lpstr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Дисконтування довгострокової заборгованості: особливості обліку длч платників єдиного податку</dc:title>
  <dc:subject/>
  <dc:creator>Marina Zhimolostnova</dc:creator>
  <cp:keywords/>
  <dc:description/>
  <cp:lastModifiedBy>Yana Yeromenko</cp:lastModifiedBy>
  <cp:revision>2</cp:revision>
  <dcterms:created xsi:type="dcterms:W3CDTF">2020-04-23T08:38:00Z</dcterms:created>
  <dcterms:modified xsi:type="dcterms:W3CDTF">2020-04-23T08:38:00Z</dcterms:modified>
</cp:coreProperties>
</file>